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0B" w:rsidRPr="00B526C8" w:rsidRDefault="00480D0B" w:rsidP="00480D0B">
      <w:pPr>
        <w:pStyle w:val="Nadpis6"/>
        <w:rPr>
          <w:rFonts w:ascii="Arial" w:hAnsi="Arial" w:cs="Arial"/>
          <w:sz w:val="24"/>
        </w:rPr>
      </w:pPr>
      <w:bookmarkStart w:id="0" w:name="_GoBack"/>
      <w:bookmarkEnd w:id="0"/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  <w:t xml:space="preserve"> </w:t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</w:r>
      <w:r w:rsidRPr="00B526C8">
        <w:rPr>
          <w:rFonts w:ascii="Arial" w:hAnsi="Arial" w:cs="Arial"/>
          <w:sz w:val="24"/>
        </w:rPr>
        <w:tab/>
        <w:t>I.</w:t>
      </w:r>
    </w:p>
    <w:p w:rsidR="00480D0B" w:rsidRPr="00B526C8" w:rsidRDefault="00480D0B" w:rsidP="00480D0B">
      <w:pPr>
        <w:pStyle w:val="Nzev"/>
        <w:spacing w:line="360" w:lineRule="auto"/>
        <w:rPr>
          <w:rFonts w:ascii="Arial" w:hAnsi="Arial" w:cs="Arial"/>
        </w:rPr>
      </w:pPr>
      <w:r w:rsidRPr="00B526C8">
        <w:rPr>
          <w:rFonts w:ascii="Arial" w:hAnsi="Arial" w:cs="Arial"/>
        </w:rPr>
        <w:t>Předkládací zpráva</w:t>
      </w:r>
    </w:p>
    <w:p w:rsidR="00480D0B" w:rsidRDefault="00480D0B" w:rsidP="00480D0B">
      <w:pPr>
        <w:spacing w:after="120" w:line="264" w:lineRule="auto"/>
        <w:jc w:val="both"/>
        <w:rPr>
          <w:rFonts w:ascii="Arial" w:hAnsi="Arial" w:cs="Arial"/>
          <w:sz w:val="20"/>
        </w:rPr>
      </w:pPr>
    </w:p>
    <w:p w:rsidR="009E2EE4" w:rsidRPr="006F3B73" w:rsidRDefault="009E2EE4" w:rsidP="009E2EE4">
      <w:pPr>
        <w:spacing w:after="120" w:line="264" w:lineRule="auto"/>
        <w:jc w:val="both"/>
        <w:rPr>
          <w:rFonts w:ascii="Arial" w:hAnsi="Arial" w:cs="Arial"/>
          <w:sz w:val="20"/>
        </w:rPr>
      </w:pPr>
      <w:r w:rsidRPr="006F3B73">
        <w:rPr>
          <w:rFonts w:ascii="Arial" w:hAnsi="Arial" w:cs="Arial"/>
          <w:sz w:val="20"/>
        </w:rPr>
        <w:t>Ministerstvo pro místní rozvoj - Národní orgán pro koordinaci (MMR-NOK) v souvislosti s plněním usnesení vlády ze dne 24. března 2014 č. 182 předkládá vládě materiál „</w:t>
      </w:r>
      <w:r w:rsidRPr="006F3B73">
        <w:rPr>
          <w:rFonts w:ascii="Arial" w:hAnsi="Arial" w:cs="Arial"/>
          <w:b/>
          <w:i/>
          <w:sz w:val="20"/>
        </w:rPr>
        <w:t>Informace o stavu přípravy programů a řešení předběžných podmínek pro programové období 2014–2020</w:t>
      </w:r>
      <w:r w:rsidRPr="006F3B73">
        <w:rPr>
          <w:rFonts w:ascii="Arial" w:hAnsi="Arial" w:cs="Arial"/>
          <w:sz w:val="20"/>
        </w:rPr>
        <w:t xml:space="preserve">“, který shrnuje zásadní informace za měsíc </w:t>
      </w:r>
      <w:r>
        <w:rPr>
          <w:rFonts w:ascii="Arial" w:hAnsi="Arial" w:cs="Arial"/>
          <w:b/>
          <w:sz w:val="20"/>
        </w:rPr>
        <w:t>leden 2015</w:t>
      </w:r>
      <w:r w:rsidRPr="006F3B73">
        <w:rPr>
          <w:rFonts w:ascii="Arial" w:hAnsi="Arial" w:cs="Arial"/>
          <w:sz w:val="20"/>
        </w:rPr>
        <w:t xml:space="preserve">. Informace obsažené v předkládaném materiálu jsou </w:t>
      </w:r>
      <w:r w:rsidRPr="00A5027B">
        <w:rPr>
          <w:rFonts w:ascii="Arial" w:hAnsi="Arial" w:cs="Arial"/>
          <w:b/>
          <w:sz w:val="20"/>
        </w:rPr>
        <w:t xml:space="preserve">platné ke dni </w:t>
      </w:r>
      <w:r>
        <w:rPr>
          <w:rFonts w:ascii="Arial" w:hAnsi="Arial" w:cs="Arial"/>
          <w:b/>
          <w:sz w:val="20"/>
        </w:rPr>
        <w:t>20. ledna 2015</w:t>
      </w:r>
      <w:r w:rsidRPr="00A5027B">
        <w:rPr>
          <w:rFonts w:ascii="Arial" w:hAnsi="Arial" w:cs="Arial"/>
          <w:sz w:val="20"/>
        </w:rPr>
        <w:t xml:space="preserve"> a</w:t>
      </w:r>
      <w:r w:rsidRPr="006F3B73">
        <w:rPr>
          <w:rFonts w:ascii="Arial" w:hAnsi="Arial" w:cs="Arial"/>
          <w:sz w:val="20"/>
        </w:rPr>
        <w:t xml:space="preserve"> jejich stav se v průběhu času vyvíjí.</w:t>
      </w:r>
    </w:p>
    <w:p w:rsidR="009E2EE4" w:rsidRDefault="009E2EE4" w:rsidP="009E2EE4">
      <w:pPr>
        <w:spacing w:after="120" w:line="264" w:lineRule="auto"/>
        <w:jc w:val="both"/>
        <w:rPr>
          <w:rFonts w:ascii="Arial" w:hAnsi="Arial" w:cs="Arial"/>
          <w:sz w:val="20"/>
        </w:rPr>
      </w:pPr>
      <w:r w:rsidRPr="006F3B73">
        <w:rPr>
          <w:rFonts w:ascii="Arial" w:hAnsi="Arial" w:cs="Arial"/>
          <w:sz w:val="20"/>
        </w:rPr>
        <w:t xml:space="preserve">Předkládaný materiál informuje o stavu </w:t>
      </w:r>
      <w:r>
        <w:rPr>
          <w:rFonts w:ascii="Arial" w:hAnsi="Arial" w:cs="Arial"/>
          <w:sz w:val="20"/>
        </w:rPr>
        <w:t>vyjednávání</w:t>
      </w:r>
      <w:r w:rsidRPr="006F3B73">
        <w:rPr>
          <w:rFonts w:ascii="Arial" w:hAnsi="Arial" w:cs="Arial"/>
          <w:sz w:val="20"/>
        </w:rPr>
        <w:t xml:space="preserve"> programů pro čerpání prostředků z Evropských strukturálních a investičních fondů s Evropskou komisí (EK), stavu plnění rizikových předběžných podmínek a kroků přijímaných k jejich naplnění a dalších oblastí souvisejících s přípravou programového období 2014–2020. </w:t>
      </w:r>
    </w:p>
    <w:p w:rsidR="009E2EE4" w:rsidRDefault="009E2EE4" w:rsidP="009E2EE4">
      <w:pPr>
        <w:spacing w:after="120" w:line="264" w:lineRule="auto"/>
        <w:jc w:val="both"/>
        <w:rPr>
          <w:rFonts w:ascii="Arial" w:hAnsi="Arial" w:cs="Arial"/>
          <w:sz w:val="16"/>
        </w:rPr>
      </w:pPr>
      <w:r w:rsidRPr="008939ED">
        <w:rPr>
          <w:rFonts w:ascii="Arial" w:hAnsi="Arial" w:cs="Arial"/>
          <w:sz w:val="20"/>
        </w:rPr>
        <w:t xml:space="preserve">Na jednání </w:t>
      </w:r>
      <w:r w:rsidRPr="008939ED">
        <w:rPr>
          <w:rFonts w:ascii="Arial" w:hAnsi="Arial" w:cs="Arial"/>
          <w:b/>
          <w:sz w:val="20"/>
        </w:rPr>
        <w:t>Výboru pro EU na vládní úrovni dne 15. prosince 2014</w:t>
      </w:r>
      <w:r w:rsidRPr="008939ED">
        <w:rPr>
          <w:rFonts w:ascii="Arial" w:hAnsi="Arial" w:cs="Arial"/>
          <w:sz w:val="20"/>
        </w:rPr>
        <w:t xml:space="preserve"> předseda vlády dále požádal ministryni pro místní rozvoj, aby na jednání vlády na přelomu ledna a února 2015 předložila pro informaci </w:t>
      </w:r>
      <w:r w:rsidRPr="001F29F7">
        <w:rPr>
          <w:rFonts w:ascii="Arial" w:hAnsi="Arial" w:cs="Arial"/>
          <w:sz w:val="20"/>
        </w:rPr>
        <w:t xml:space="preserve">materiál o stavu vyjednávání a schvalování programů v ostatních členských státech Evropské unie a obdobných požadavcích Evropské komise vůči </w:t>
      </w:r>
      <w:r>
        <w:rPr>
          <w:rFonts w:ascii="Arial" w:hAnsi="Arial" w:cs="Arial"/>
          <w:sz w:val="20"/>
        </w:rPr>
        <w:t>jiným</w:t>
      </w:r>
      <w:r w:rsidRPr="001F29F7">
        <w:rPr>
          <w:rFonts w:ascii="Arial" w:hAnsi="Arial" w:cs="Arial"/>
          <w:sz w:val="20"/>
        </w:rPr>
        <w:t xml:space="preserve"> členským státům</w:t>
      </w:r>
      <w:r w:rsidRPr="008939ED">
        <w:rPr>
          <w:rFonts w:ascii="Arial" w:hAnsi="Arial" w:cs="Arial"/>
          <w:sz w:val="20"/>
        </w:rPr>
        <w:t xml:space="preserve">. </w:t>
      </w:r>
      <w:r w:rsidRPr="008939ED">
        <w:rPr>
          <w:rFonts w:ascii="Arial" w:hAnsi="Arial" w:cs="Arial"/>
          <w:b/>
          <w:sz w:val="20"/>
        </w:rPr>
        <w:t>Aktuální předkládaná informace proto byla rozšířena</w:t>
      </w:r>
      <w:r w:rsidRPr="008939ED">
        <w:rPr>
          <w:rFonts w:ascii="Arial" w:hAnsi="Arial" w:cs="Arial"/>
          <w:sz w:val="20"/>
        </w:rPr>
        <w:t xml:space="preserve"> a obsahuje i uvedené požadované informace.</w:t>
      </w:r>
    </w:p>
    <w:p w:rsidR="009E2EE4" w:rsidRDefault="009E2EE4" w:rsidP="009E2EE4">
      <w:pPr>
        <w:spacing w:after="120" w:line="264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 xml:space="preserve">Postup schvalování programů závisí na postupu souvisejícím se změnou víceletého finančního rámce. Některé české řídicí orgány usilovaly o to, aby schválení jejich programu nebylo dotčeno změnou víceletého finančního rámce, a proto předložily program EK v příslušných termínech na podzim roku 2014. </w:t>
      </w:r>
      <w:r w:rsidRPr="00753152">
        <w:rPr>
          <w:rFonts w:ascii="Arial" w:hAnsi="Arial" w:cs="Arial"/>
          <w:b/>
          <w:sz w:val="20"/>
        </w:rPr>
        <w:t>Vzhledem k aktuálně řešené problematice zákona o státní službě</w:t>
      </w:r>
      <w:r>
        <w:rPr>
          <w:rFonts w:ascii="Arial" w:hAnsi="Arial" w:cs="Arial"/>
          <w:sz w:val="20"/>
        </w:rPr>
        <w:t xml:space="preserve"> (dále také „služební zákon“) však EK informovala, že žádný český program nebude ze strany EK v současné době posouzen jako připraven k přijetí. To znamená, že </w:t>
      </w:r>
      <w:r w:rsidRPr="00753152">
        <w:rPr>
          <w:rFonts w:ascii="Arial" w:hAnsi="Arial" w:cs="Arial"/>
          <w:b/>
          <w:sz w:val="20"/>
        </w:rPr>
        <w:t>všechny české programy budou schvalovány až v červnu 2015</w:t>
      </w:r>
      <w:r>
        <w:rPr>
          <w:rFonts w:ascii="Arial" w:hAnsi="Arial" w:cs="Arial"/>
          <w:sz w:val="20"/>
        </w:rPr>
        <w:t>.</w:t>
      </w:r>
    </w:p>
    <w:p w:rsidR="009E2EE4" w:rsidRDefault="009E2EE4" w:rsidP="009E2EE4">
      <w:pPr>
        <w:spacing w:after="120" w:line="264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 xml:space="preserve">Problematiku služebního zákona navíc Česká republika (ČR) vnímá jako jednu z oblastí, v nichž </w:t>
      </w:r>
      <w:r w:rsidRPr="00753152">
        <w:rPr>
          <w:rFonts w:ascii="Arial" w:hAnsi="Arial" w:cs="Arial"/>
          <w:b/>
          <w:sz w:val="20"/>
        </w:rPr>
        <w:t>EK neuplatňuje jednotný přístup ke všem členským státům EU</w:t>
      </w:r>
      <w:r>
        <w:rPr>
          <w:rFonts w:ascii="Arial" w:hAnsi="Arial" w:cs="Arial"/>
          <w:sz w:val="20"/>
        </w:rPr>
        <w:t>. Kromě služebního zákona se nejednotný přístup EK dotýká také oblasti veřejných zakázek a vyjednávání o aplikaci článku 70 Obecného nařízení, tj. problematika financování operací mimo programové území. Vyjednávání těchto oblastí s EK jsou náročná mimo jiné proto, že požadavky EK v mnoha případech jdou nad rámec legislativy EU i pravomocí EK</w:t>
      </w:r>
      <w:r w:rsidRPr="00336DB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 jsou sdělovány postupně až v průběhu vyjednávání. MMR-NOK ve spolupráci se Stálým zastoupením ČR v </w:t>
      </w:r>
      <w:r w:rsidRPr="00CC5D9C">
        <w:rPr>
          <w:rFonts w:ascii="Arial" w:hAnsi="Arial" w:cs="Arial"/>
          <w:sz w:val="20"/>
        </w:rPr>
        <w:t xml:space="preserve">Bruselu provedlo </w:t>
      </w:r>
      <w:proofErr w:type="spellStart"/>
      <w:r w:rsidRPr="00CC5D9C">
        <w:rPr>
          <w:rFonts w:ascii="Arial" w:hAnsi="Arial" w:cs="Arial"/>
          <w:sz w:val="20"/>
        </w:rPr>
        <w:t>screening</w:t>
      </w:r>
      <w:proofErr w:type="spellEnd"/>
      <w:r w:rsidRPr="00CC5D9C">
        <w:rPr>
          <w:rFonts w:ascii="Arial" w:hAnsi="Arial" w:cs="Arial"/>
          <w:sz w:val="20"/>
        </w:rPr>
        <w:t xml:space="preserve"> situace v několika členských státech</w:t>
      </w:r>
      <w:r>
        <w:rPr>
          <w:rFonts w:ascii="Arial" w:hAnsi="Arial" w:cs="Arial"/>
          <w:sz w:val="20"/>
        </w:rPr>
        <w:t>, na základě něhož je porovnán přístup EK k řešení uvedených oblastí v těchto členských státech a v ČR.</w:t>
      </w:r>
    </w:p>
    <w:p w:rsidR="009E2EE4" w:rsidRDefault="009E2EE4" w:rsidP="009E2EE4">
      <w:pPr>
        <w:spacing w:after="120" w:line="264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 xml:space="preserve">Dalším faktorem majícím vliv na zpoždění schvalování programů a zahájení implementace programového období 2014–2020 jsou </w:t>
      </w:r>
      <w:r w:rsidRPr="00753152">
        <w:rPr>
          <w:rFonts w:ascii="Arial" w:hAnsi="Arial" w:cs="Arial"/>
          <w:b/>
          <w:sz w:val="20"/>
        </w:rPr>
        <w:t>oblasti řešené ze strany EK až ve finální fázi vyjednávání</w:t>
      </w:r>
      <w:r>
        <w:rPr>
          <w:rFonts w:ascii="Arial" w:hAnsi="Arial" w:cs="Arial"/>
          <w:b/>
          <w:sz w:val="20"/>
        </w:rPr>
        <w:t xml:space="preserve"> programů</w:t>
      </w:r>
      <w:r>
        <w:rPr>
          <w:rFonts w:ascii="Arial" w:hAnsi="Arial" w:cs="Arial"/>
          <w:sz w:val="20"/>
        </w:rPr>
        <w:t>. Tento problém se týká například problematiky podpory fyzických osob, ale také zmíněné aplikace článku 70 Obecného nařízení, který má mimo jiné dopad na využití prostředků v rámci programů, resp. nastavení převodu prostředků mezi </w:t>
      </w:r>
      <w:r w:rsidRPr="00AA5E27">
        <w:rPr>
          <w:rFonts w:ascii="Arial" w:hAnsi="Arial" w:cs="Arial"/>
          <w:sz w:val="20"/>
        </w:rPr>
        <w:t>kategoriemi regionů</w:t>
      </w:r>
      <w:r>
        <w:rPr>
          <w:rFonts w:ascii="Arial" w:hAnsi="Arial" w:cs="Arial"/>
          <w:sz w:val="20"/>
        </w:rPr>
        <w:t>. Dosud není k dispozici slíbený metodický dokument EK,</w:t>
      </w:r>
      <w:r w:rsidRPr="00336DB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jehož vydání EK avizovala</w:t>
      </w:r>
      <w:r w:rsidR="007A63CD" w:rsidRPr="007A63CD">
        <w:rPr>
          <w:rFonts w:ascii="Arial" w:hAnsi="Arial" w:cs="Arial"/>
          <w:sz w:val="20"/>
        </w:rPr>
        <w:t xml:space="preserve"> </w:t>
      </w:r>
      <w:r w:rsidR="007A63CD">
        <w:rPr>
          <w:rFonts w:ascii="Arial" w:hAnsi="Arial" w:cs="Arial"/>
          <w:sz w:val="20"/>
        </w:rPr>
        <w:t>postupně</w:t>
      </w:r>
      <w:r>
        <w:rPr>
          <w:rFonts w:ascii="Arial" w:hAnsi="Arial" w:cs="Arial"/>
          <w:sz w:val="20"/>
        </w:rPr>
        <w:t xml:space="preserve"> již </w:t>
      </w:r>
      <w:r w:rsidR="007A63CD">
        <w:rPr>
          <w:rFonts w:ascii="Arial" w:hAnsi="Arial" w:cs="Arial"/>
          <w:sz w:val="20"/>
        </w:rPr>
        <w:t>v průběhu celého loňského roku</w:t>
      </w:r>
      <w:r>
        <w:rPr>
          <w:rFonts w:ascii="Arial" w:hAnsi="Arial" w:cs="Arial"/>
          <w:sz w:val="20"/>
        </w:rPr>
        <w:t>, který upravuje pravidla pro financování operací mimo programové území a je nezbytný pro implementaci dotčených programů.</w:t>
      </w:r>
    </w:p>
    <w:p w:rsidR="009E2EE4" w:rsidRDefault="009E2EE4" w:rsidP="009E2EE4">
      <w:pPr>
        <w:spacing w:after="120" w:line="264" w:lineRule="auto"/>
        <w:jc w:val="both"/>
        <w:rPr>
          <w:rFonts w:ascii="Arial" w:hAnsi="Arial" w:cs="Arial"/>
          <w:sz w:val="16"/>
        </w:rPr>
      </w:pPr>
      <w:r w:rsidRPr="00753152">
        <w:rPr>
          <w:rFonts w:ascii="Arial" w:hAnsi="Arial" w:cs="Arial"/>
          <w:b/>
          <w:sz w:val="20"/>
        </w:rPr>
        <w:t>Snahou MMR-NOK a řídicích orgánů je brzké ukončení vyjednávání s EK</w:t>
      </w:r>
      <w:r>
        <w:rPr>
          <w:rFonts w:ascii="Arial" w:hAnsi="Arial" w:cs="Arial"/>
          <w:sz w:val="20"/>
        </w:rPr>
        <w:t xml:space="preserve"> o výše uvedených oblastech tak, aby vyjednávání programů spolufinancovaných z ESI fondů v programovém období 2014–2020 mohlo být v blízké době uzavřeno a mohla být zahájena jejich implementace. Z tohoto důvodu je </w:t>
      </w:r>
      <w:r w:rsidRPr="004F5D71">
        <w:rPr>
          <w:rFonts w:ascii="Arial" w:hAnsi="Arial" w:cs="Arial"/>
          <w:b/>
          <w:sz w:val="20"/>
        </w:rPr>
        <w:t>na únor 2015 plánováno jednání za účasti zástupců EK a řídicích orgánů s cílem uzavřít otevřené otázky</w:t>
      </w:r>
      <w:r>
        <w:rPr>
          <w:rFonts w:ascii="Arial" w:hAnsi="Arial" w:cs="Arial"/>
          <w:sz w:val="20"/>
        </w:rPr>
        <w:t xml:space="preserve"> ve vztahu k jednotlivým programům.</w:t>
      </w:r>
    </w:p>
    <w:p w:rsidR="00306A68" w:rsidRPr="00480D0B" w:rsidRDefault="009E2EE4" w:rsidP="009E2EE4">
      <w:pPr>
        <w:spacing w:after="120" w:line="264" w:lineRule="auto"/>
        <w:jc w:val="both"/>
      </w:pPr>
      <w:r w:rsidRPr="006A235A">
        <w:rPr>
          <w:rFonts w:ascii="Arial" w:hAnsi="Arial" w:cs="Arial"/>
          <w:sz w:val="20"/>
          <w:szCs w:val="20"/>
        </w:rPr>
        <w:t>Vzhledem ke své povaze nemá předkládaný materiál negativní do</w:t>
      </w:r>
      <w:r>
        <w:rPr>
          <w:rFonts w:ascii="Arial" w:hAnsi="Arial" w:cs="Arial"/>
          <w:sz w:val="20"/>
          <w:szCs w:val="20"/>
        </w:rPr>
        <w:t>pady z hlediska rovnosti mužů a </w:t>
      </w:r>
      <w:r w:rsidRPr="006A235A">
        <w:rPr>
          <w:rFonts w:ascii="Arial" w:hAnsi="Arial" w:cs="Arial"/>
          <w:sz w:val="20"/>
          <w:szCs w:val="20"/>
        </w:rPr>
        <w:t>žen. Obecně vnímaná problematika začleňování (jejíž součástí je zrovnoprávnění mužů a žen) je horizontální princip, který vychází z nařízení EU a musí být součástí celkového nastavení programového období 2014–2020.</w:t>
      </w:r>
    </w:p>
    <w:sectPr w:rsidR="00306A68" w:rsidRPr="00480D0B" w:rsidSect="009E2EE4">
      <w:pgSz w:w="11906" w:h="16838"/>
      <w:pgMar w:top="1276" w:right="1588" w:bottom="1418" w:left="158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5E" w:rsidRDefault="00115C5E" w:rsidP="00C74E92">
      <w:r>
        <w:separator/>
      </w:r>
    </w:p>
  </w:endnote>
  <w:endnote w:type="continuationSeparator" w:id="0">
    <w:p w:rsidR="00115C5E" w:rsidRDefault="00115C5E" w:rsidP="00C7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5E" w:rsidRDefault="00115C5E" w:rsidP="00C74E92">
      <w:r>
        <w:separator/>
      </w:r>
    </w:p>
  </w:footnote>
  <w:footnote w:type="continuationSeparator" w:id="0">
    <w:p w:rsidR="00115C5E" w:rsidRDefault="00115C5E" w:rsidP="00C74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464EF"/>
    <w:multiLevelType w:val="hybridMultilevel"/>
    <w:tmpl w:val="01E89860"/>
    <w:lvl w:ilvl="0" w:tplc="033216CC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EA01CD1"/>
    <w:multiLevelType w:val="hybridMultilevel"/>
    <w:tmpl w:val="7F6E38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2F"/>
    <w:rsid w:val="00000D7D"/>
    <w:rsid w:val="00005B38"/>
    <w:rsid w:val="000220D6"/>
    <w:rsid w:val="00045801"/>
    <w:rsid w:val="00060149"/>
    <w:rsid w:val="0006418B"/>
    <w:rsid w:val="000F3140"/>
    <w:rsid w:val="00115C5E"/>
    <w:rsid w:val="00127757"/>
    <w:rsid w:val="001424C0"/>
    <w:rsid w:val="00173203"/>
    <w:rsid w:val="001870BA"/>
    <w:rsid w:val="001C0ADC"/>
    <w:rsid w:val="001C392F"/>
    <w:rsid w:val="001C5E48"/>
    <w:rsid w:val="001D12F6"/>
    <w:rsid w:val="00212B45"/>
    <w:rsid w:val="00255C3A"/>
    <w:rsid w:val="00270EE1"/>
    <w:rsid w:val="00271028"/>
    <w:rsid w:val="002759C0"/>
    <w:rsid w:val="002C66DB"/>
    <w:rsid w:val="002D4458"/>
    <w:rsid w:val="002D6416"/>
    <w:rsid w:val="002F63E8"/>
    <w:rsid w:val="00306A68"/>
    <w:rsid w:val="00340085"/>
    <w:rsid w:val="0034556B"/>
    <w:rsid w:val="0036431E"/>
    <w:rsid w:val="003742B8"/>
    <w:rsid w:val="003A3B7E"/>
    <w:rsid w:val="003D4635"/>
    <w:rsid w:val="00427FC7"/>
    <w:rsid w:val="004315C5"/>
    <w:rsid w:val="004628CE"/>
    <w:rsid w:val="0047312F"/>
    <w:rsid w:val="00480D0B"/>
    <w:rsid w:val="0048283F"/>
    <w:rsid w:val="004B1295"/>
    <w:rsid w:val="004B21CC"/>
    <w:rsid w:val="004B2D73"/>
    <w:rsid w:val="004F0B15"/>
    <w:rsid w:val="00503969"/>
    <w:rsid w:val="005208B5"/>
    <w:rsid w:val="00550D62"/>
    <w:rsid w:val="005A60C8"/>
    <w:rsid w:val="005C10C5"/>
    <w:rsid w:val="005C702F"/>
    <w:rsid w:val="005E23A8"/>
    <w:rsid w:val="0065679A"/>
    <w:rsid w:val="006C0325"/>
    <w:rsid w:val="006D621B"/>
    <w:rsid w:val="006F3B73"/>
    <w:rsid w:val="00706892"/>
    <w:rsid w:val="00722C50"/>
    <w:rsid w:val="00786E74"/>
    <w:rsid w:val="007A63CD"/>
    <w:rsid w:val="007E3C99"/>
    <w:rsid w:val="007F44C9"/>
    <w:rsid w:val="00812C28"/>
    <w:rsid w:val="00835489"/>
    <w:rsid w:val="00841C86"/>
    <w:rsid w:val="00863EAB"/>
    <w:rsid w:val="0086633F"/>
    <w:rsid w:val="00881AD7"/>
    <w:rsid w:val="00897168"/>
    <w:rsid w:val="008C03BF"/>
    <w:rsid w:val="008D40AF"/>
    <w:rsid w:val="008D56C5"/>
    <w:rsid w:val="00932119"/>
    <w:rsid w:val="00985C04"/>
    <w:rsid w:val="009C7E8D"/>
    <w:rsid w:val="009D2B66"/>
    <w:rsid w:val="009E2EE4"/>
    <w:rsid w:val="00A06CDE"/>
    <w:rsid w:val="00A1451D"/>
    <w:rsid w:val="00A178C4"/>
    <w:rsid w:val="00A44AFF"/>
    <w:rsid w:val="00A463E9"/>
    <w:rsid w:val="00A5027B"/>
    <w:rsid w:val="00A741BE"/>
    <w:rsid w:val="00AC5964"/>
    <w:rsid w:val="00B4457B"/>
    <w:rsid w:val="00B542C8"/>
    <w:rsid w:val="00B55811"/>
    <w:rsid w:val="00BD35E8"/>
    <w:rsid w:val="00C0648E"/>
    <w:rsid w:val="00C148C5"/>
    <w:rsid w:val="00C6094F"/>
    <w:rsid w:val="00C74E92"/>
    <w:rsid w:val="00C92AC5"/>
    <w:rsid w:val="00CA2121"/>
    <w:rsid w:val="00CA3392"/>
    <w:rsid w:val="00D5120B"/>
    <w:rsid w:val="00DB593A"/>
    <w:rsid w:val="00E166D7"/>
    <w:rsid w:val="00E23451"/>
    <w:rsid w:val="00E70894"/>
    <w:rsid w:val="00E83EBA"/>
    <w:rsid w:val="00E9201E"/>
    <w:rsid w:val="00EA3D49"/>
    <w:rsid w:val="00EB7EAA"/>
    <w:rsid w:val="00EC497E"/>
    <w:rsid w:val="00EE1AE6"/>
    <w:rsid w:val="00EE5DC4"/>
    <w:rsid w:val="00F073CF"/>
    <w:rsid w:val="00F12CAD"/>
    <w:rsid w:val="00F17DEE"/>
    <w:rsid w:val="00F27894"/>
    <w:rsid w:val="00F549FC"/>
    <w:rsid w:val="00FD0262"/>
    <w:rsid w:val="00FE60F6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C702F"/>
    <w:pPr>
      <w:keepNext/>
      <w:tabs>
        <w:tab w:val="num" w:pos="1068"/>
      </w:tabs>
      <w:outlineLvl w:val="5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5C702F"/>
    <w:pPr>
      <w:jc w:val="center"/>
    </w:pPr>
    <w:rPr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C74E92"/>
    <w:pPr>
      <w:jc w:val="both"/>
    </w:pPr>
    <w:rPr>
      <w:rFonts w:eastAsia="Arial Unicode MS"/>
      <w:sz w:val="20"/>
      <w:szCs w:val="20"/>
      <w:u w:color="00000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C74E92"/>
    <w:rPr>
      <w:rFonts w:ascii="Times New Roman" w:eastAsia="Arial Unicode MS" w:hAnsi="Times New Roman" w:cs="Times New Roman"/>
      <w:sz w:val="20"/>
      <w:szCs w:val="20"/>
      <w:u w:color="00000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C74E92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306A68"/>
    <w:pPr>
      <w:spacing w:before="120" w:after="120" w:line="276" w:lineRule="auto"/>
      <w:ind w:left="720" w:hanging="284"/>
      <w:contextualSpacing/>
      <w:jc w:val="both"/>
    </w:pPr>
    <w:rPr>
      <w:rFonts w:ascii="Calibri" w:eastAsia="Arial Unicode MS" w:hAnsi="Calibri" w:cs="Calibri"/>
      <w:sz w:val="22"/>
      <w:szCs w:val="22"/>
      <w:u w:color="000000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6A68"/>
    <w:rPr>
      <w:rFonts w:ascii="Calibri" w:eastAsia="Arial Unicode MS" w:hAnsi="Calibri" w:cs="Calibri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54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548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C702F"/>
    <w:pPr>
      <w:keepNext/>
      <w:tabs>
        <w:tab w:val="num" w:pos="1068"/>
      </w:tabs>
      <w:outlineLvl w:val="5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5C702F"/>
    <w:pPr>
      <w:jc w:val="center"/>
    </w:pPr>
    <w:rPr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5C702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C74E92"/>
    <w:pPr>
      <w:jc w:val="both"/>
    </w:pPr>
    <w:rPr>
      <w:rFonts w:eastAsia="Arial Unicode MS"/>
      <w:sz w:val="20"/>
      <w:szCs w:val="20"/>
      <w:u w:color="00000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C74E92"/>
    <w:rPr>
      <w:rFonts w:ascii="Times New Roman" w:eastAsia="Arial Unicode MS" w:hAnsi="Times New Roman" w:cs="Times New Roman"/>
      <w:sz w:val="20"/>
      <w:szCs w:val="20"/>
      <w:u w:color="00000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C74E92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306A68"/>
    <w:pPr>
      <w:spacing w:before="120" w:after="120" w:line="276" w:lineRule="auto"/>
      <w:ind w:left="720" w:hanging="284"/>
      <w:contextualSpacing/>
      <w:jc w:val="both"/>
    </w:pPr>
    <w:rPr>
      <w:rFonts w:ascii="Calibri" w:eastAsia="Arial Unicode MS" w:hAnsi="Calibri" w:cs="Calibri"/>
      <w:sz w:val="22"/>
      <w:szCs w:val="22"/>
      <w:u w:color="000000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06A68"/>
    <w:rPr>
      <w:rFonts w:ascii="Calibri" w:eastAsia="Arial Unicode MS" w:hAnsi="Calibri" w:cs="Calibri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54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548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3423</Characters>
  <Application>Microsoft Office Word</Application>
  <DocSecurity>4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Holopírková</dc:creator>
  <cp:lastModifiedBy>Moravcová Lenka</cp:lastModifiedBy>
  <cp:revision>2</cp:revision>
  <cp:lastPrinted>2014-11-20T13:34:00Z</cp:lastPrinted>
  <dcterms:created xsi:type="dcterms:W3CDTF">2015-02-05T08:09:00Z</dcterms:created>
  <dcterms:modified xsi:type="dcterms:W3CDTF">2015-02-05T08:09:00Z</dcterms:modified>
</cp:coreProperties>
</file>